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B9480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E14F4">
                    <w:t>28.03.2022</w:t>
                  </w:r>
                  <w:r w:rsidRPr="002B5ED7">
                    <w:t>№</w:t>
                  </w:r>
                  <w:r w:rsidR="001E14F4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9480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554EBB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554EB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E14F4">
                    <w:rPr>
                      <w:sz w:val="24"/>
                      <w:szCs w:val="24"/>
                    </w:rPr>
                    <w:t>28.03.2022</w:t>
                  </w:r>
                  <w:r w:rsidRPr="00554EB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1371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1371BF">
        <w:rPr>
          <w:b/>
          <w:sz w:val="28"/>
          <w:szCs w:val="28"/>
        </w:rPr>
        <w:t>5</w:t>
      </w:r>
      <w:r w:rsidRPr="00F069C6">
        <w:rPr>
          <w:b/>
          <w:sz w:val="28"/>
          <w:szCs w:val="28"/>
        </w:rPr>
        <w:t>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1E14F4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1E14F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E14F4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1E14F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E14F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1E14F4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1E14F4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DE6629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1E14F4">
        <w:rPr>
          <w:spacing w:val="-3"/>
          <w:sz w:val="24"/>
          <w:szCs w:val="24"/>
          <w:lang w:eastAsia="en-US"/>
        </w:rPr>
        <w:t xml:space="preserve">5 </w:t>
      </w:r>
      <w:r w:rsidRPr="00794709">
        <w:rPr>
          <w:spacing w:val="-3"/>
          <w:sz w:val="24"/>
          <w:szCs w:val="24"/>
          <w:lang w:eastAsia="en-US"/>
        </w:rPr>
        <w:t>марта 20</w:t>
      </w:r>
      <w:r w:rsidR="001E14F4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1E14F4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1E14F4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>форма обучения – очная на 202</w:t>
      </w:r>
      <w:r w:rsidR="001E14F4">
        <w:rPr>
          <w:sz w:val="24"/>
          <w:szCs w:val="24"/>
          <w:lang w:eastAsia="en-US"/>
        </w:rPr>
        <w:t>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1E14F4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1E14F4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</w:rPr>
        <w:t>форма обучения – заочная на 202</w:t>
      </w:r>
      <w:r w:rsidR="001E14F4">
        <w:rPr>
          <w:sz w:val="24"/>
          <w:szCs w:val="24"/>
        </w:rPr>
        <w:t>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1E14F4">
        <w:rPr>
          <w:rFonts w:eastAsia="Courier New"/>
          <w:bCs/>
          <w:sz w:val="24"/>
          <w:szCs w:val="24"/>
        </w:rPr>
        <w:t>28.03.2022 г. № 28.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1371B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1371BF">
        <w:rPr>
          <w:b/>
          <w:sz w:val="24"/>
          <w:szCs w:val="24"/>
        </w:rPr>
        <w:t>5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lastRenderedPageBreak/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A903A1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5E0592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444832" w:rsidRDefault="00921FD7" w:rsidP="00921FD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921FD7" w:rsidRPr="008056C0" w:rsidRDefault="00921FD7" w:rsidP="00921FD7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921FD7" w:rsidRPr="00951918" w:rsidRDefault="00921FD7" w:rsidP="00921FD7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  <w:p w:rsidR="00921FD7" w:rsidRPr="00A831BC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444832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педагогических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921FD7" w:rsidRPr="00444832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AC5766" w:rsidRDefault="00921FD7" w:rsidP="00921FD7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921FD7" w:rsidRPr="00444832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921FD7" w:rsidRPr="00C53D0B" w:rsidRDefault="00921FD7" w:rsidP="00921FD7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</w:t>
            </w:r>
            <w:r>
              <w:rPr>
                <w:sz w:val="24"/>
                <w:szCs w:val="24"/>
              </w:rPr>
              <w:lastRenderedPageBreak/>
              <w:t xml:space="preserve">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21FD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3E17CF" w:rsidRDefault="00921FD7" w:rsidP="00921FD7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Default="00921FD7" w:rsidP="00921F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D7" w:rsidRPr="00693513" w:rsidRDefault="00921FD7" w:rsidP="00921FD7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921FD7" w:rsidRPr="00693513" w:rsidRDefault="00921FD7" w:rsidP="00921FD7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921FD7" w:rsidRPr="00693513" w:rsidRDefault="00921FD7" w:rsidP="00921FD7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921FD7" w:rsidRPr="00693513" w:rsidRDefault="00921FD7" w:rsidP="00921FD7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921FD7" w:rsidRPr="00693513" w:rsidRDefault="00921FD7" w:rsidP="00921FD7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921FD7" w:rsidRPr="00444832" w:rsidRDefault="00921FD7" w:rsidP="00921FD7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A07553">
              <w:rPr>
                <w:bCs/>
                <w:sz w:val="24"/>
                <w:szCs w:val="24"/>
              </w:rPr>
              <w:t>0</w:t>
            </w:r>
            <w:r w:rsidR="001371B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</w:t>
            </w:r>
            <w:r w:rsidR="001371BF">
              <w:rPr>
                <w:bCs/>
                <w:sz w:val="24"/>
                <w:szCs w:val="24"/>
              </w:rPr>
              <w:t>5</w:t>
            </w:r>
            <w:r w:rsidR="00207A66" w:rsidRPr="00794709">
              <w:rPr>
                <w:bCs/>
                <w:sz w:val="24"/>
                <w:szCs w:val="24"/>
              </w:rPr>
              <w:t>(</w:t>
            </w:r>
            <w:r w:rsidR="00323C53">
              <w:rPr>
                <w:bCs/>
                <w:sz w:val="24"/>
                <w:szCs w:val="24"/>
              </w:rPr>
              <w:t>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323C5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53" w:rsidRPr="00526C53" w:rsidRDefault="00323C53" w:rsidP="00323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УК-2; 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>на 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 xml:space="preserve">се в </w:t>
      </w:r>
      <w:r w:rsidR="00DB3AEC">
        <w:rPr>
          <w:b/>
          <w:color w:val="000000"/>
          <w:sz w:val="24"/>
          <w:szCs w:val="24"/>
        </w:rPr>
        <w:t>3</w:t>
      </w:r>
      <w:r w:rsidRPr="00C21039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>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1E14F4">
        <w:rPr>
          <w:bCs/>
          <w:sz w:val="24"/>
          <w:szCs w:val="24"/>
        </w:rPr>
        <w:t>4</w:t>
      </w:r>
      <w:r w:rsidR="008B0F4D">
        <w:rPr>
          <w:bCs/>
          <w:sz w:val="24"/>
          <w:szCs w:val="24"/>
        </w:rPr>
        <w:t>.0</w:t>
      </w:r>
      <w:r w:rsidR="001E14F4">
        <w:rPr>
          <w:bCs/>
          <w:sz w:val="24"/>
          <w:szCs w:val="24"/>
        </w:rPr>
        <w:t>5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</w:t>
            </w:r>
            <w:r w:rsidR="002F1CAC" w:rsidRPr="00710D4F">
              <w:rPr>
                <w:rFonts w:ascii="Times New Roman" w:hAnsi="Times New Roman"/>
                <w:color w:val="000000"/>
              </w:rPr>
              <w:lastRenderedPageBreak/>
              <w:t>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8A" w:rsidRPr="00E70C8A" w:rsidRDefault="00E70C8A" w:rsidP="00E70C8A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70C8A">
              <w:rPr>
                <w:rStyle w:val="fontstyle01"/>
                <w:rFonts w:ascii="Times New Roman" w:hAnsi="Times New Roman"/>
              </w:rPr>
              <w:t xml:space="preserve">Проведение, анализ и интерпретация результатов констатирующего этапа исследования. </w:t>
            </w:r>
            <w:r w:rsidRPr="00E70C8A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Конспект содержания параграфа 2.1. (констатирующего этапа исследования) ВКР</w:t>
            </w:r>
          </w:p>
          <w:p w:rsidR="00E70C8A" w:rsidRPr="00E70C8A" w:rsidRDefault="00E70C8A" w:rsidP="00E70C8A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E70C8A">
              <w:rPr>
                <w:rStyle w:val="fontstyle01"/>
                <w:rFonts w:ascii="Times New Roman" w:hAnsi="Times New Roman"/>
              </w:rPr>
              <w:t xml:space="preserve">Коллективное обсуждение результатов констатирующего этапа опытно-исследовательской работы. Дальнейших подбор недостающих методик исследования. </w:t>
            </w:r>
            <w:r w:rsidRPr="00E70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протокол обсуждения, валидность методик, </w:t>
            </w:r>
            <w:r w:rsidRPr="00E70C8A">
              <w:rPr>
                <w:rStyle w:val="fontstyle01"/>
                <w:rFonts w:ascii="Times New Roman" w:hAnsi="Times New Roman"/>
                <w:i/>
              </w:rPr>
              <w:t>подбор недостающих методик исследования.</w:t>
            </w:r>
          </w:p>
          <w:p w:rsidR="00E70C8A" w:rsidRPr="00E70C8A" w:rsidRDefault="00E70C8A" w:rsidP="00E70C8A">
            <w:pPr>
              <w:pStyle w:val="af2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E70C8A">
              <w:rPr>
                <w:rStyle w:val="fontstyle01"/>
                <w:rFonts w:ascii="Times New Roman" w:hAnsi="Times New Roman"/>
              </w:rPr>
              <w:t>Составления плана деятельности по формирующему этапу исследования.</w:t>
            </w:r>
          </w:p>
          <w:p w:rsidR="00E70C8A" w:rsidRPr="00E70C8A" w:rsidRDefault="00E70C8A" w:rsidP="00E70C8A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E70C8A">
              <w:rPr>
                <w:b/>
                <w:i/>
                <w:sz w:val="24"/>
                <w:szCs w:val="24"/>
              </w:rPr>
              <w:t xml:space="preserve">Результат: Конспект плана деятельности </w:t>
            </w:r>
            <w:r w:rsidRPr="00E70C8A">
              <w:rPr>
                <w:rStyle w:val="fontstyle01"/>
                <w:rFonts w:ascii="Times New Roman" w:hAnsi="Times New Roman"/>
                <w:i/>
              </w:rPr>
              <w:t>по формирующему этапу исследования</w:t>
            </w:r>
          </w:p>
          <w:p w:rsidR="005E4C9B" w:rsidRPr="00794709" w:rsidRDefault="005E4C9B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334B5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</w:t>
      </w:r>
      <w:r w:rsidRPr="0053399D">
        <w:rPr>
          <w:color w:val="000000"/>
        </w:rPr>
        <w:lastRenderedPageBreak/>
        <w:t>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</w:t>
      </w:r>
      <w:r w:rsidRPr="00794709">
        <w:rPr>
          <w:sz w:val="16"/>
          <w:szCs w:val="16"/>
        </w:rPr>
        <w:lastRenderedPageBreak/>
        <w:t xml:space="preserve">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6904A2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4F561B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4F561B">
        <w:rPr>
          <w:sz w:val="24"/>
          <w:szCs w:val="24"/>
        </w:rPr>
        <w:t>5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4F561B" w:rsidRPr="00C23DBA">
        <w:rPr>
          <w:b/>
          <w:sz w:val="24"/>
          <w:szCs w:val="24"/>
        </w:rPr>
        <w:t>«Педагогическая деятельность в дополнительном образовании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 w:rsidRPr="006904A2">
        <w:rPr>
          <w:b/>
          <w:sz w:val="24"/>
          <w:szCs w:val="24"/>
        </w:rPr>
        <w:t>зачета</w:t>
      </w:r>
      <w:r w:rsidR="006904A2" w:rsidRPr="006904A2">
        <w:rPr>
          <w:b/>
          <w:sz w:val="24"/>
          <w:szCs w:val="24"/>
        </w:rPr>
        <w:t>.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</w:t>
      </w:r>
      <w:r w:rsidRPr="00EE70AE">
        <w:rPr>
          <w:sz w:val="24"/>
          <w:szCs w:val="24"/>
          <w:shd w:val="clear" w:color="auto" w:fill="FFFFFF"/>
        </w:rPr>
        <w:lastRenderedPageBreak/>
        <w:t>ISBN 978-5-534-10426-4. — Текст : электронный // ЭБС Юрайт [сайт]. — URL: </w:t>
      </w:r>
      <w:hyperlink r:id="rId17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B94805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5A706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B94805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B9480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1E14F4" w:rsidRPr="001E14F4" w:rsidRDefault="00AB638B" w:rsidP="001E14F4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1E14F4" w:rsidRPr="001E14F4">
        <w:rPr>
          <w:sz w:val="24"/>
          <w:szCs w:val="24"/>
          <w:lang w:eastAsia="en-US"/>
        </w:rPr>
        <w:lastRenderedPageBreak/>
        <w:t>Приложение 2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E14F4" w:rsidRPr="001E14F4" w:rsidTr="00C841C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4F4" w:rsidRPr="001E14F4" w:rsidRDefault="001E14F4" w:rsidP="001E14F4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1E14F4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1E14F4" w:rsidRPr="001E14F4" w:rsidRDefault="001E14F4" w:rsidP="001E14F4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jc w:val="center"/>
        <w:rPr>
          <w:spacing w:val="20"/>
          <w:sz w:val="36"/>
          <w:szCs w:val="36"/>
          <w:lang w:eastAsia="en-US"/>
        </w:rPr>
      </w:pPr>
      <w:r w:rsidRPr="001E14F4">
        <w:rPr>
          <w:spacing w:val="20"/>
          <w:sz w:val="36"/>
          <w:szCs w:val="36"/>
          <w:lang w:eastAsia="en-US"/>
        </w:rPr>
        <w:t>ОТЧЕТ</w:t>
      </w:r>
    </w:p>
    <w:p w:rsidR="001E14F4" w:rsidRPr="001E14F4" w:rsidRDefault="001E14F4" w:rsidP="001E14F4">
      <w:pPr>
        <w:jc w:val="center"/>
        <w:rPr>
          <w:rFonts w:eastAsia="Times New Roman"/>
          <w:b/>
          <w:sz w:val="28"/>
          <w:szCs w:val="28"/>
        </w:rPr>
      </w:pPr>
      <w:r w:rsidRPr="001E14F4">
        <w:rPr>
          <w:rFonts w:eastAsia="Times New Roman"/>
          <w:b/>
          <w:sz w:val="28"/>
          <w:szCs w:val="28"/>
        </w:rPr>
        <w:t>О ПРАКТИЧЕСКОЙ ПОДГОТОВКЕ</w:t>
      </w:r>
    </w:p>
    <w:p w:rsidR="001E14F4" w:rsidRPr="001E14F4" w:rsidRDefault="001E14F4" w:rsidP="001E14F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1E14F4">
        <w:rPr>
          <w:rFonts w:eastAsia="Times New Roman"/>
          <w:b/>
          <w:sz w:val="28"/>
          <w:szCs w:val="28"/>
        </w:rPr>
        <w:t>(производственная практика)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Вид практики: производственная практика</w:t>
      </w: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Выполнил(а):  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1E14F4">
        <w:rPr>
          <w:lang w:eastAsia="en-US"/>
        </w:rPr>
        <w:t>Фамилия И.О.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Дополнительное образование детей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Форма обучения: </w:t>
      </w:r>
      <w:r w:rsidR="00DE6629">
        <w:rPr>
          <w:i/>
          <w:sz w:val="24"/>
          <w:szCs w:val="24"/>
          <w:lang w:eastAsia="en-US"/>
        </w:rPr>
        <w:t>очная/</w:t>
      </w:r>
      <w:r w:rsidRPr="001E14F4">
        <w:rPr>
          <w:i/>
          <w:sz w:val="24"/>
          <w:szCs w:val="24"/>
          <w:lang w:eastAsia="en-US"/>
        </w:rPr>
        <w:t xml:space="preserve">заочная 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Руководитель практики от ОмГА: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1E14F4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1E14F4">
        <w:rPr>
          <w:lang w:eastAsia="en-US"/>
        </w:rPr>
        <w:t>оценка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1E14F4">
        <w:rPr>
          <w:sz w:val="24"/>
          <w:szCs w:val="24"/>
          <w:lang w:eastAsia="en-US"/>
        </w:rPr>
        <w:t xml:space="preserve">Место прохождения практики: </w:t>
      </w:r>
      <w:r w:rsidRPr="001E14F4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1E14F4">
        <w:rPr>
          <w:sz w:val="24"/>
          <w:szCs w:val="24"/>
          <w:lang w:eastAsia="en-US"/>
        </w:rPr>
        <w:t>_____________________________________________________________________________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_____________________________________________________________________________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__________________________________________________ 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1E14F4">
        <w:rPr>
          <w:sz w:val="24"/>
          <w:szCs w:val="24"/>
          <w:lang w:eastAsia="en-US"/>
        </w:rPr>
        <w:br/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М.П.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Омск, 20__</w:t>
      </w: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E14F4" w:rsidRPr="001E14F4" w:rsidTr="00C841C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E14F4" w:rsidRPr="001E14F4" w:rsidTr="00C841C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14F4" w:rsidRPr="001E14F4" w:rsidRDefault="001E14F4" w:rsidP="001E14F4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E14F4" w:rsidRPr="001E14F4" w:rsidTr="00C841C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14F4" w:rsidRPr="001E14F4" w:rsidRDefault="001E14F4" w:rsidP="001E14F4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1E14F4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1E14F4" w:rsidRPr="001E14F4" w:rsidRDefault="001E14F4" w:rsidP="001E14F4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E14F4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1E14F4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E14F4" w:rsidRPr="001E14F4" w:rsidRDefault="001E14F4" w:rsidP="001E14F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1E14F4" w:rsidRPr="001E14F4" w:rsidRDefault="00B94805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E14F4" w:rsidRPr="004665FD" w:rsidRDefault="001E14F4" w:rsidP="001E14F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1E14F4" w:rsidRPr="004665FD" w:rsidRDefault="001E14F4" w:rsidP="001E14F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14F4" w:rsidRPr="004665FD" w:rsidRDefault="001E14F4" w:rsidP="001E14F4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1E14F4" w:rsidRPr="004665FD" w:rsidRDefault="001E14F4" w:rsidP="001E14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1E14F4" w:rsidRPr="001E14F4" w:rsidRDefault="001E14F4" w:rsidP="001E14F4">
      <w:pPr>
        <w:jc w:val="center"/>
        <w:rPr>
          <w:rFonts w:eastAsia="Times New Roman"/>
          <w:sz w:val="28"/>
          <w:szCs w:val="28"/>
        </w:rPr>
      </w:pPr>
      <w:r w:rsidRPr="001E14F4">
        <w:rPr>
          <w:rFonts w:eastAsia="Times New Roman"/>
          <w:sz w:val="28"/>
          <w:szCs w:val="28"/>
        </w:rPr>
        <w:t>Задание для практической подготовки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1E14F4">
        <w:rPr>
          <w:rFonts w:eastAsia="Times New Roman"/>
          <w:sz w:val="28"/>
          <w:szCs w:val="28"/>
        </w:rPr>
        <w:t>(производственная практика)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E14F4">
        <w:rPr>
          <w:rFonts w:eastAsia="Times New Roman"/>
          <w:sz w:val="24"/>
          <w:szCs w:val="24"/>
        </w:rPr>
        <w:t>______________ __________________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rFonts w:eastAsia="Times New Roman"/>
        </w:rPr>
      </w:pPr>
      <w:r w:rsidRPr="001E14F4">
        <w:rPr>
          <w:rFonts w:eastAsia="Times New Roman"/>
        </w:rPr>
        <w:t>Фамилия, Имя, Отчество обучающегося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E14F4" w:rsidRPr="001E14F4" w:rsidRDefault="001E14F4" w:rsidP="001E14F4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1E14F4" w:rsidRPr="001E14F4" w:rsidRDefault="001E14F4" w:rsidP="001E14F4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1E14F4" w:rsidRPr="001E14F4" w:rsidRDefault="001E14F4" w:rsidP="001E14F4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Вид практики: производственная практика</w:t>
      </w:r>
    </w:p>
    <w:p w:rsidR="001E14F4" w:rsidRPr="001E14F4" w:rsidRDefault="001E14F4" w:rsidP="001E14F4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1E14F4" w:rsidRPr="001E14F4" w:rsidRDefault="001E14F4" w:rsidP="001E14F4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1E14F4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1E14F4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1E14F4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1E14F4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1E14F4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1E14F4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1E14F4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1E14F4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1E14F4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1E14F4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1E14F4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1E14F4" w:rsidRPr="001E14F4" w:rsidRDefault="001E14F4" w:rsidP="001E14F4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1E14F4">
        <w:rPr>
          <w:b/>
          <w:sz w:val="24"/>
          <w:szCs w:val="24"/>
          <w:lang w:eastAsia="en-US"/>
        </w:rPr>
        <w:t>Индивидуальное задание:</w:t>
      </w:r>
    </w:p>
    <w:p w:rsidR="001E14F4" w:rsidRPr="001E14F4" w:rsidRDefault="001E14F4" w:rsidP="001E14F4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contextualSpacing/>
        <w:jc w:val="both"/>
        <w:rPr>
          <w:b/>
          <w:i/>
          <w:color w:val="000000"/>
          <w:sz w:val="24"/>
          <w:szCs w:val="24"/>
          <w:lang w:eastAsia="en-US"/>
        </w:rPr>
      </w:pPr>
      <w:r w:rsidRPr="001E14F4">
        <w:rPr>
          <w:rFonts w:ascii="TimesNewRomanPS-BoldMT" w:hAnsi="TimesNewRomanPS-BoldMT"/>
          <w:b/>
          <w:bCs/>
          <w:color w:val="000000"/>
          <w:sz w:val="24"/>
          <w:szCs w:val="24"/>
          <w:lang w:eastAsia="en-US"/>
        </w:rPr>
        <w:t xml:space="preserve">Проведение, анализ и интерпретация результатов констатирующего этапа исследования. </w:t>
      </w:r>
    </w:p>
    <w:p w:rsidR="001E14F4" w:rsidRPr="001E14F4" w:rsidRDefault="001E14F4" w:rsidP="001E14F4">
      <w:pPr>
        <w:ind w:firstLine="709"/>
        <w:jc w:val="both"/>
        <w:rPr>
          <w:b/>
          <w:i/>
          <w:sz w:val="24"/>
          <w:szCs w:val="24"/>
          <w:lang w:eastAsia="en-US"/>
        </w:rPr>
      </w:pPr>
      <w:r w:rsidRPr="001E14F4">
        <w:rPr>
          <w:b/>
          <w:i/>
          <w:sz w:val="24"/>
          <w:szCs w:val="24"/>
          <w:lang w:eastAsia="en-US"/>
        </w:rPr>
        <w:t>Результат:Конспект содержания параграфа 2.1.(констатирующего этапа исследования) ВКР</w:t>
      </w:r>
    </w:p>
    <w:p w:rsidR="001E14F4" w:rsidRPr="001E14F4" w:rsidRDefault="001E14F4" w:rsidP="001E14F4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NewRomanPS-BoldMT" w:hAnsi="TimesNewRomanPS-BoldMT"/>
          <w:bCs/>
          <w:color w:val="000000"/>
          <w:sz w:val="24"/>
          <w:szCs w:val="24"/>
          <w:lang w:eastAsia="en-US"/>
        </w:rPr>
      </w:pPr>
      <w:r w:rsidRPr="001E14F4">
        <w:rPr>
          <w:rFonts w:ascii="TimesNewRomanPS-BoldMT" w:hAnsi="TimesNewRomanPS-BoldMT"/>
          <w:b/>
          <w:bCs/>
          <w:color w:val="000000"/>
          <w:sz w:val="24"/>
          <w:szCs w:val="24"/>
          <w:lang w:eastAsia="en-US"/>
        </w:rPr>
        <w:t>Коллективное обсуждение результатов констатирующего этапа опытно-исследовательской работы. Дальнейших подбор недостающих методик исследования.</w:t>
      </w:r>
    </w:p>
    <w:p w:rsidR="001E14F4" w:rsidRPr="001E14F4" w:rsidRDefault="001E14F4" w:rsidP="001E14F4">
      <w:pPr>
        <w:ind w:firstLine="709"/>
        <w:jc w:val="both"/>
        <w:rPr>
          <w:rFonts w:ascii="TimesNewRomanPS-BoldMT" w:hAnsi="TimesNewRomanPS-BoldMT"/>
          <w:b/>
          <w:bCs/>
          <w:i/>
          <w:color w:val="000000"/>
          <w:sz w:val="24"/>
          <w:szCs w:val="24"/>
          <w:lang w:eastAsia="en-US"/>
        </w:rPr>
      </w:pPr>
      <w:r w:rsidRPr="001E14F4">
        <w:rPr>
          <w:b/>
          <w:i/>
          <w:sz w:val="24"/>
          <w:szCs w:val="24"/>
          <w:lang w:eastAsia="en-US"/>
        </w:rPr>
        <w:t xml:space="preserve">Результат: протокол обсуждения, валидность методик, </w:t>
      </w:r>
      <w:r w:rsidRPr="001E14F4">
        <w:rPr>
          <w:rFonts w:ascii="TimesNewRomanPS-BoldMT" w:hAnsi="TimesNewRomanPS-BoldMT"/>
          <w:b/>
          <w:bCs/>
          <w:i/>
          <w:color w:val="000000"/>
          <w:sz w:val="24"/>
          <w:szCs w:val="24"/>
          <w:lang w:eastAsia="en-US"/>
        </w:rPr>
        <w:t>подбор недостающих методик исследования.</w:t>
      </w:r>
    </w:p>
    <w:p w:rsidR="001E14F4" w:rsidRPr="001E14F4" w:rsidRDefault="001E14F4" w:rsidP="001E14F4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NewRomanPS-BoldMT" w:hAnsi="TimesNewRomanPS-BoldMT"/>
          <w:bCs/>
          <w:color w:val="000000"/>
          <w:sz w:val="24"/>
          <w:szCs w:val="24"/>
          <w:lang w:eastAsia="en-US"/>
        </w:rPr>
      </w:pPr>
      <w:r w:rsidRPr="001E14F4">
        <w:rPr>
          <w:rFonts w:ascii="TimesNewRomanPS-BoldMT" w:hAnsi="TimesNewRomanPS-BoldMT"/>
          <w:b/>
          <w:bCs/>
          <w:color w:val="000000"/>
          <w:sz w:val="24"/>
          <w:szCs w:val="24"/>
          <w:lang w:eastAsia="en-US"/>
        </w:rPr>
        <w:t>Составления плана деятельности по формирующему этапу исследования.</w:t>
      </w:r>
    </w:p>
    <w:p w:rsidR="001E14F4" w:rsidRPr="001E14F4" w:rsidRDefault="001E14F4" w:rsidP="001E14F4">
      <w:pPr>
        <w:widowControl/>
        <w:ind w:firstLine="709"/>
        <w:contextualSpacing/>
        <w:jc w:val="both"/>
        <w:rPr>
          <w:i/>
          <w:sz w:val="24"/>
          <w:szCs w:val="24"/>
          <w:lang w:eastAsia="en-US"/>
        </w:rPr>
      </w:pPr>
      <w:r w:rsidRPr="001E14F4">
        <w:rPr>
          <w:b/>
          <w:i/>
          <w:sz w:val="24"/>
          <w:szCs w:val="24"/>
          <w:lang w:eastAsia="en-US"/>
        </w:rPr>
        <w:t xml:space="preserve">Результат: Конспект плана деятельности </w:t>
      </w:r>
      <w:r w:rsidRPr="001E14F4">
        <w:rPr>
          <w:b/>
          <w:bCs/>
          <w:i/>
          <w:color w:val="000000"/>
          <w:sz w:val="24"/>
          <w:szCs w:val="24"/>
          <w:lang w:eastAsia="en-US"/>
        </w:rPr>
        <w:t>по формирующему этапу исследования</w:t>
      </w:r>
    </w:p>
    <w:p w:rsidR="001E14F4" w:rsidRPr="001E14F4" w:rsidRDefault="001E14F4" w:rsidP="001E14F4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</w:p>
    <w:p w:rsidR="001E14F4" w:rsidRPr="001E14F4" w:rsidRDefault="001E14F4" w:rsidP="001E14F4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1E14F4">
        <w:rPr>
          <w:rFonts w:eastAsia="Times New Roman"/>
          <w:sz w:val="24"/>
          <w:szCs w:val="24"/>
        </w:rPr>
        <w:t>Заключение</w:t>
      </w:r>
    </w:p>
    <w:p w:rsidR="001E14F4" w:rsidRPr="001E14F4" w:rsidRDefault="001E14F4" w:rsidP="001E14F4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1E14F4">
        <w:rPr>
          <w:rFonts w:eastAsia="Times New Roman"/>
          <w:sz w:val="24"/>
          <w:szCs w:val="24"/>
        </w:rPr>
        <w:t>Список использованных источников</w:t>
      </w: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Приложения 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E14F4" w:rsidRPr="001E14F4" w:rsidRDefault="001E14F4" w:rsidP="001E14F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:rsidR="001E14F4" w:rsidRPr="001E14F4" w:rsidRDefault="001E14F4" w:rsidP="001E14F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Задание принял(а) к исполнению (ФИО):  _____________</w:t>
      </w: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1E14F4">
        <w:rPr>
          <w:lang w:eastAsia="en-US"/>
        </w:rPr>
        <w:br w:type="page"/>
      </w: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Приложение 4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jc w:val="center"/>
        <w:rPr>
          <w:rFonts w:eastAsia="Times New Roman"/>
          <w:b/>
          <w:sz w:val="24"/>
          <w:szCs w:val="24"/>
        </w:rPr>
      </w:pPr>
      <w:r w:rsidRPr="001E14F4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1E14F4">
        <w:rPr>
          <w:rFonts w:eastAsia="Times New Roman"/>
          <w:b/>
          <w:sz w:val="24"/>
          <w:szCs w:val="24"/>
        </w:rPr>
        <w:t>(ПРОИЗВОДСТВЕННАЯ ПРАКТИКА)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1E14F4" w:rsidRPr="001E14F4" w:rsidTr="00C841CE">
        <w:tc>
          <w:tcPr>
            <w:tcW w:w="321" w:type="pct"/>
            <w:vAlign w:val="center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Дата</w:t>
            </w:r>
          </w:p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E14F4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1E14F4" w:rsidRPr="001E14F4" w:rsidTr="00C841CE">
        <w:trPr>
          <w:trHeight w:hRule="exact" w:val="851"/>
        </w:trPr>
        <w:tc>
          <w:tcPr>
            <w:tcW w:w="321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1E14F4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1E14F4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  <w:r w:rsidRPr="001E14F4">
        <w:rPr>
          <w:sz w:val="24"/>
          <w:szCs w:val="24"/>
          <w:lang w:eastAsia="en-US"/>
        </w:rPr>
        <w:br w:type="page"/>
      </w: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Приложение 5</w:t>
      </w:r>
    </w:p>
    <w:p w:rsidR="001E14F4" w:rsidRPr="001E14F4" w:rsidRDefault="001E14F4" w:rsidP="001E14F4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1E14F4">
        <w:rPr>
          <w:rFonts w:eastAsia="Times New Roman"/>
          <w:sz w:val="24"/>
          <w:szCs w:val="24"/>
          <w:lang w:eastAsia="en-US"/>
        </w:rPr>
        <w:br/>
      </w:r>
      <w:r w:rsidRPr="001E14F4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1E14F4">
        <w:rPr>
          <w:rFonts w:eastAsia="Times New Roman"/>
          <w:shd w:val="clear" w:color="auto" w:fill="FFFFFF"/>
          <w:lang w:eastAsia="en-US"/>
        </w:rPr>
        <w:br/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1E14F4">
        <w:rPr>
          <w:rFonts w:eastAsia="Times New Roman"/>
          <w:sz w:val="24"/>
          <w:szCs w:val="24"/>
          <w:lang w:eastAsia="en-US"/>
        </w:rPr>
        <w:br/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1E14F4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подпись</w:t>
      </w:r>
    </w:p>
    <w:p w:rsidR="001E14F4" w:rsidRPr="001E14F4" w:rsidRDefault="001E14F4" w:rsidP="001E14F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1E14F4">
        <w:rPr>
          <w:rFonts w:eastAsia="Times New Roman"/>
          <w:b/>
          <w:sz w:val="24"/>
          <w:szCs w:val="24"/>
          <w:lang w:eastAsia="en-US"/>
        </w:rPr>
        <w:t>М.П.</w:t>
      </w:r>
    </w:p>
    <w:p w:rsidR="001E14F4" w:rsidRPr="001E14F4" w:rsidRDefault="001E14F4" w:rsidP="001E14F4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1E14F4" w:rsidRPr="001E14F4" w:rsidRDefault="001E14F4" w:rsidP="001E14F4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Приложение 6</w:t>
      </w:r>
    </w:p>
    <w:p w:rsidR="001E14F4" w:rsidRPr="001E14F4" w:rsidRDefault="001E14F4" w:rsidP="001E14F4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1E14F4" w:rsidRPr="001E14F4" w:rsidRDefault="001E14F4" w:rsidP="001E14F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E14F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г.Омск</w:t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E14F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E14F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  <w:r w:rsidRPr="001E14F4">
        <w:rPr>
          <w:rFonts w:eastAsia="Times New Roman"/>
          <w:b/>
          <w:sz w:val="24"/>
          <w:szCs w:val="24"/>
          <w:u w:val="single"/>
        </w:rPr>
        <w:tab/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color w:val="000000"/>
          <w:sz w:val="24"/>
          <w:szCs w:val="24"/>
        </w:rPr>
        <w:t>,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E14F4">
        <w:rPr>
          <w:rFonts w:eastAsia="Times New Roman"/>
          <w:color w:val="000000"/>
          <w:sz w:val="24"/>
          <w:szCs w:val="24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E14F4">
        <w:rPr>
          <w:rFonts w:eastAsia="Times New Roman"/>
          <w:color w:val="000000"/>
          <w:sz w:val="24"/>
          <w:szCs w:val="24"/>
        </w:rPr>
        <w:t>,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E14F4" w:rsidRPr="001E14F4" w:rsidRDefault="001E14F4" w:rsidP="001E14F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E14F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E14F4" w:rsidRPr="001E14F4" w:rsidRDefault="001E14F4" w:rsidP="001E14F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E14F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1E14F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E14F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E14F4" w:rsidRPr="001E14F4" w:rsidRDefault="001E14F4" w:rsidP="001E14F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E14F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E14F4" w:rsidRPr="001E14F4" w:rsidRDefault="001E14F4" w:rsidP="001E14F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E14F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E14F4" w:rsidRPr="001E14F4" w:rsidRDefault="001E14F4" w:rsidP="001E14F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E14F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E14F4" w:rsidRPr="001E14F4" w:rsidRDefault="001E14F4" w:rsidP="001E14F4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1E14F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E14F4" w:rsidRPr="001E14F4" w:rsidRDefault="001E14F4" w:rsidP="001E14F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4F4" w:rsidRPr="001E14F4" w:rsidTr="001E14F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E14F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1E14F4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1E14F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E14F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E14F4" w:rsidRPr="001E14F4" w:rsidTr="001E14F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1E14F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E14F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E14F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1E14F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E14F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1E14F4" w:rsidRPr="001E14F4" w:rsidTr="001E14F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E14F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1E14F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1E14F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1E14F4" w:rsidRPr="001E14F4" w:rsidTr="001E14F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E14F4" w:rsidRPr="001E14F4" w:rsidRDefault="001E14F4" w:rsidP="001E14F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1E14F4" w:rsidRPr="001E14F4" w:rsidRDefault="001E14F4" w:rsidP="001E14F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E14F4" w:rsidRPr="001E14F4" w:rsidRDefault="001E14F4" w:rsidP="001E14F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Приложение 7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1E14F4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1E14F4">
        <w:rPr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</w:p>
    <w:p w:rsidR="001E14F4" w:rsidRPr="001E14F4" w:rsidRDefault="001E14F4" w:rsidP="001E14F4">
      <w:pPr>
        <w:widowControl/>
        <w:jc w:val="center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1E14F4" w:rsidRPr="001E14F4" w:rsidRDefault="001E14F4" w:rsidP="001E14F4">
      <w:pPr>
        <w:widowControl/>
        <w:jc w:val="center"/>
        <w:rPr>
          <w:lang w:eastAsia="en-US"/>
        </w:rPr>
      </w:pPr>
      <w:r w:rsidRPr="001E14F4">
        <w:rPr>
          <w:lang w:eastAsia="en-US"/>
        </w:rPr>
        <w:t xml:space="preserve"> (Ф.И.О. обучающегося) </w:t>
      </w:r>
    </w:p>
    <w:p w:rsidR="001E14F4" w:rsidRPr="001E14F4" w:rsidRDefault="001E14F4" w:rsidP="001E14F4">
      <w:pPr>
        <w:widowControl/>
        <w:jc w:val="both"/>
        <w:rPr>
          <w:sz w:val="24"/>
          <w:szCs w:val="24"/>
          <w:u w:val="single"/>
          <w:lang w:eastAsia="en-US"/>
        </w:rPr>
      </w:pPr>
      <w:r w:rsidRPr="001E14F4">
        <w:rPr>
          <w:sz w:val="24"/>
          <w:szCs w:val="24"/>
          <w:lang w:eastAsia="en-US"/>
        </w:rPr>
        <w:t xml:space="preserve">Направление подготовки: </w:t>
      </w:r>
      <w:r w:rsidRPr="001E14F4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1E14F4" w:rsidRPr="001E14F4" w:rsidRDefault="001E14F4" w:rsidP="001E14F4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Вид практики: производственная практика</w:t>
      </w: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1E14F4" w:rsidRPr="001E14F4" w:rsidRDefault="001E14F4" w:rsidP="001E14F4">
      <w:pPr>
        <w:widowControl/>
        <w:jc w:val="both"/>
        <w:rPr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1E14F4" w:rsidRPr="001E14F4" w:rsidRDefault="001E14F4" w:rsidP="001E14F4">
      <w:pPr>
        <w:widowControl/>
        <w:jc w:val="center"/>
        <w:rPr>
          <w:lang w:eastAsia="en-US"/>
        </w:rPr>
      </w:pPr>
      <w:r w:rsidRPr="001E14F4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1E14F4" w:rsidRPr="001E14F4" w:rsidRDefault="001E14F4" w:rsidP="001E14F4">
      <w:pPr>
        <w:widowControl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1E14F4" w:rsidRPr="001E14F4" w:rsidRDefault="001E14F4" w:rsidP="001E14F4">
      <w:pPr>
        <w:widowControl/>
        <w:jc w:val="center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____________________________________________________________________________</w:t>
      </w:r>
    </w:p>
    <w:p w:rsidR="001E14F4" w:rsidRPr="001E14F4" w:rsidRDefault="001E14F4" w:rsidP="001E14F4">
      <w:pPr>
        <w:widowControl/>
        <w:jc w:val="both"/>
        <w:rPr>
          <w:sz w:val="24"/>
          <w:szCs w:val="24"/>
          <w:lang w:eastAsia="en-US"/>
        </w:rPr>
      </w:pPr>
      <w:r w:rsidRPr="001E14F4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1E14F4" w:rsidRPr="001E14F4" w:rsidRDefault="001E14F4" w:rsidP="001E14F4">
      <w:pPr>
        <w:widowControl/>
        <w:ind w:firstLine="708"/>
        <w:jc w:val="center"/>
        <w:rPr>
          <w:lang w:eastAsia="en-US"/>
        </w:rPr>
      </w:pPr>
      <w:r w:rsidRPr="001E14F4">
        <w:rPr>
          <w:sz w:val="24"/>
          <w:szCs w:val="24"/>
          <w:lang w:eastAsia="en-US"/>
        </w:rPr>
        <w:t>(</w:t>
      </w:r>
      <w:r w:rsidRPr="001E14F4">
        <w:rPr>
          <w:lang w:eastAsia="en-US"/>
        </w:rPr>
        <w:t xml:space="preserve">должность Ф.И.О.) 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E14F4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E14F4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E14F4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E14F4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1E14F4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E14F4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E14F4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1E14F4">
              <w:rPr>
                <w:color w:val="FF0000"/>
                <w:sz w:val="22"/>
                <w:szCs w:val="22"/>
                <w:lang w:eastAsia="en-US"/>
              </w:rPr>
              <w:t>;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E14F4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1E14F4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1E14F4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1E14F4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1E14F4">
              <w:rPr>
                <w:sz w:val="22"/>
                <w:szCs w:val="22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1E14F4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1E14F4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1E14F4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E14F4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1E14F4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1E14F4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1E14F4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1E14F4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1E14F4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1E14F4" w:rsidRPr="001E14F4" w:rsidTr="00C841CE">
        <w:tc>
          <w:tcPr>
            <w:tcW w:w="9571" w:type="dxa"/>
            <w:gridSpan w:val="3"/>
          </w:tcPr>
          <w:p w:rsidR="001E14F4" w:rsidRPr="001E14F4" w:rsidRDefault="001E14F4" w:rsidP="001E14F4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1E14F4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jc w:val="both"/>
              <w:rPr>
                <w:color w:val="FF0000"/>
                <w:sz w:val="22"/>
                <w:szCs w:val="22"/>
                <w:u w:val="single"/>
                <w:lang w:eastAsia="en-US"/>
              </w:rPr>
            </w:pPr>
            <w:r w:rsidRPr="001E14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Проведение, анализ и интерпретация констатирующего этапа исследования.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E14F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1E14F4">
              <w:rPr>
                <w:b/>
                <w:bCs/>
                <w:color w:val="000000"/>
                <w:sz w:val="24"/>
                <w:szCs w:val="24"/>
                <w:lang w:eastAsia="en-US"/>
              </w:rPr>
              <w:t>Коллективное обсуждение результатов констатирующего этапа опытно-исследовательской работы. Дальнейших подбор недостающих методик исследования.</w:t>
            </w:r>
          </w:p>
        </w:tc>
      </w:tr>
      <w:tr w:rsidR="001E14F4" w:rsidRPr="001E14F4" w:rsidTr="00C841CE">
        <w:tc>
          <w:tcPr>
            <w:tcW w:w="817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E14F4" w:rsidRPr="001E14F4" w:rsidRDefault="001E14F4" w:rsidP="001E14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1E14F4" w:rsidRPr="001E14F4" w:rsidRDefault="001E14F4" w:rsidP="001E14F4">
            <w:pPr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14F4">
              <w:rPr>
                <w:b/>
                <w:bCs/>
                <w:color w:val="000000"/>
                <w:sz w:val="24"/>
                <w:szCs w:val="24"/>
                <w:lang w:eastAsia="en-US"/>
              </w:rPr>
              <w:t>Составления плана деятельности по формирующему этапу исследования.</w:t>
            </w:r>
          </w:p>
        </w:tc>
      </w:tr>
    </w:tbl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1E14F4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1E14F4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1E14F4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1E14F4">
        <w:rPr>
          <w:bCs/>
          <w:sz w:val="24"/>
          <w:szCs w:val="24"/>
          <w:lang w:eastAsia="en-US"/>
        </w:rPr>
        <w:br w:type="page"/>
      </w:r>
    </w:p>
    <w:p w:rsidR="001E14F4" w:rsidRPr="001E14F4" w:rsidRDefault="001E14F4" w:rsidP="001E14F4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1E14F4">
        <w:rPr>
          <w:bCs/>
          <w:sz w:val="24"/>
          <w:szCs w:val="24"/>
          <w:lang w:eastAsia="en-US"/>
        </w:rPr>
        <w:t>Приложение 8</w:t>
      </w: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1E14F4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1E14F4" w:rsidRPr="001E14F4" w:rsidRDefault="001E14F4" w:rsidP="001E14F4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ЗАЯВЛЕНИЕ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1E14F4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1E14F4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1E14F4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 xml:space="preserve">(Ф.И.О., </w:t>
      </w:r>
      <w:r w:rsidRPr="001E14F4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1E14F4">
        <w:rPr>
          <w:rFonts w:eastAsia="Times New Roman"/>
          <w:sz w:val="24"/>
          <w:szCs w:val="24"/>
          <w:lang w:eastAsia="en-US"/>
        </w:rPr>
        <w:t>)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 xml:space="preserve">(Ф.И.О., </w:t>
      </w:r>
      <w:r w:rsidRPr="001E14F4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1E14F4">
        <w:rPr>
          <w:rFonts w:eastAsia="Times New Roman"/>
          <w:sz w:val="24"/>
          <w:szCs w:val="24"/>
          <w:lang w:eastAsia="en-US"/>
        </w:rPr>
        <w:t>)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_____________________</w:t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__________________________</w:t>
      </w:r>
      <w:r w:rsidRPr="001E14F4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1E14F4" w:rsidRPr="001E14F4" w:rsidRDefault="001E14F4" w:rsidP="001E14F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Зав. кафедрой</w:t>
      </w:r>
    </w:p>
    <w:p w:rsidR="001E14F4" w:rsidRPr="001E14F4" w:rsidRDefault="001E14F4" w:rsidP="001E14F4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__________________________</w:t>
      </w:r>
      <w:r w:rsidRPr="001E14F4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1E14F4" w:rsidRPr="001E14F4" w:rsidRDefault="001E14F4" w:rsidP="001E14F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(Ф.И.О., должность)</w:t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</w:r>
      <w:r w:rsidRPr="001E14F4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>______________</w:t>
      </w:r>
    </w:p>
    <w:p w:rsidR="001E14F4" w:rsidRPr="001E14F4" w:rsidRDefault="001E14F4" w:rsidP="001E14F4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1E14F4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1E14F4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50F" w:rsidRDefault="0093450F" w:rsidP="00160BC1">
      <w:r>
        <w:separator/>
      </w:r>
    </w:p>
  </w:endnote>
  <w:endnote w:type="continuationSeparator" w:id="0">
    <w:p w:rsidR="0093450F" w:rsidRDefault="0093450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50F" w:rsidRDefault="0093450F" w:rsidP="00160BC1">
      <w:r>
        <w:separator/>
      </w:r>
    </w:p>
  </w:footnote>
  <w:footnote w:type="continuationSeparator" w:id="0">
    <w:p w:rsidR="0093450F" w:rsidRDefault="0093450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4E33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2F6456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1431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D787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8F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18"/>
  </w:num>
  <w:num w:numId="9">
    <w:abstractNumId w:val="16"/>
  </w:num>
  <w:num w:numId="10">
    <w:abstractNumId w:val="8"/>
  </w:num>
  <w:num w:numId="11">
    <w:abstractNumId w:val="26"/>
  </w:num>
  <w:num w:numId="12">
    <w:abstractNumId w:val="23"/>
  </w:num>
  <w:num w:numId="13">
    <w:abstractNumId w:val="20"/>
  </w:num>
  <w:num w:numId="14">
    <w:abstractNumId w:val="5"/>
  </w:num>
  <w:num w:numId="15">
    <w:abstractNumId w:val="32"/>
  </w:num>
  <w:num w:numId="16">
    <w:abstractNumId w:val="17"/>
  </w:num>
  <w:num w:numId="17">
    <w:abstractNumId w:val="1"/>
  </w:num>
  <w:num w:numId="18">
    <w:abstractNumId w:val="11"/>
  </w:num>
  <w:num w:numId="19">
    <w:abstractNumId w:val="0"/>
  </w:num>
  <w:num w:numId="20">
    <w:abstractNumId w:val="15"/>
  </w:num>
  <w:num w:numId="21">
    <w:abstractNumId w:val="4"/>
  </w:num>
  <w:num w:numId="22">
    <w:abstractNumId w:val="19"/>
  </w:num>
  <w:num w:numId="23">
    <w:abstractNumId w:val="14"/>
  </w:num>
  <w:num w:numId="24">
    <w:abstractNumId w:val="28"/>
  </w:num>
  <w:num w:numId="25">
    <w:abstractNumId w:val="31"/>
  </w:num>
  <w:num w:numId="26">
    <w:abstractNumId w:val="22"/>
  </w:num>
  <w:num w:numId="27">
    <w:abstractNumId w:val="30"/>
  </w:num>
  <w:num w:numId="28">
    <w:abstractNumId w:val="3"/>
  </w:num>
  <w:num w:numId="29">
    <w:abstractNumId w:val="13"/>
  </w:num>
  <w:num w:numId="30">
    <w:abstractNumId w:val="29"/>
  </w:num>
  <w:num w:numId="31">
    <w:abstractNumId w:val="21"/>
  </w:num>
  <w:num w:numId="32">
    <w:abstractNumId w:val="12"/>
  </w:num>
  <w:num w:numId="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17BD"/>
    <w:rsid w:val="00124FA5"/>
    <w:rsid w:val="0012547A"/>
    <w:rsid w:val="00125D87"/>
    <w:rsid w:val="00127108"/>
    <w:rsid w:val="00127DEA"/>
    <w:rsid w:val="00131CDA"/>
    <w:rsid w:val="00132893"/>
    <w:rsid w:val="00132F57"/>
    <w:rsid w:val="001371BF"/>
    <w:rsid w:val="001378B1"/>
    <w:rsid w:val="00137AA5"/>
    <w:rsid w:val="00141317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E14F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561B"/>
    <w:rsid w:val="004F6A06"/>
    <w:rsid w:val="0050569B"/>
    <w:rsid w:val="00505D06"/>
    <w:rsid w:val="00512C34"/>
    <w:rsid w:val="00513B15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4EBB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067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5172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13C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1E1A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F098D"/>
    <w:rsid w:val="007F1515"/>
    <w:rsid w:val="007F2294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2A74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1FD7"/>
    <w:rsid w:val="00926D37"/>
    <w:rsid w:val="00930317"/>
    <w:rsid w:val="0093450F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4805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6146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25FD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6629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0C8A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D0842"/>
    <w:rsid w:val="00ED272E"/>
    <w:rsid w:val="00ED28E4"/>
    <w:rsid w:val="00ED789C"/>
    <w:rsid w:val="00EE165B"/>
    <w:rsid w:val="00EE196D"/>
    <w:rsid w:val="00EE2A79"/>
    <w:rsid w:val="00EE458E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5A706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1E14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10297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68853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